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54" w:rsidRDefault="00107B54"/>
    <w:p w:rsidR="00CE53EC" w:rsidRDefault="00CE53EC" w:rsidP="00CE53EC">
      <w:pPr>
        <w:pStyle w:val="Nzov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Výzva na predkladanie ponúk</w:t>
      </w:r>
    </w:p>
    <w:p w:rsidR="00CE53EC" w:rsidRDefault="00CE53EC" w:rsidP="00CE53EC">
      <w:pPr>
        <w:pStyle w:val="Nzov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(zákazka podľa § 9 ods. 9 zákona o verejnom obstarávaní)</w:t>
      </w:r>
    </w:p>
    <w:p w:rsidR="00CE53EC" w:rsidRDefault="00CE53EC" w:rsidP="00CE53E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E53EC" w:rsidRDefault="00CE53EC" w:rsidP="00CE53EC">
      <w:pPr>
        <w:pStyle w:val="Zkladntext"/>
        <w:rPr>
          <w:rFonts w:ascii="Arial" w:hAnsi="Arial" w:cs="Arial"/>
        </w:rPr>
      </w:pPr>
    </w:p>
    <w:p w:rsidR="00CE53EC" w:rsidRDefault="00CE53EC" w:rsidP="00CE53EC">
      <w:pPr>
        <w:pStyle w:val="Zkladntext"/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Identifikácia verejného obstarávateľa</w:t>
      </w:r>
    </w:p>
    <w:p w:rsidR="00CE53EC" w:rsidRDefault="00CE53EC" w:rsidP="00CE53EC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Názov: </w:t>
      </w:r>
      <w:r>
        <w:rPr>
          <w:rFonts w:ascii="Arial" w:hAnsi="Arial" w:cs="Arial"/>
        </w:rPr>
        <w:t xml:space="preserve">Prešovská univerzita v Prešove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IČO:</w:t>
      </w:r>
      <w:r>
        <w:rPr>
          <w:rFonts w:ascii="Arial" w:hAnsi="Arial" w:cs="Arial"/>
        </w:rPr>
        <w:t xml:space="preserve"> 17070775</w:t>
      </w:r>
    </w:p>
    <w:p w:rsidR="00CE53EC" w:rsidRDefault="00CE53EC" w:rsidP="00CE53EC">
      <w:pPr>
        <w:pStyle w:val="Zkladntext3"/>
        <w:spacing w:line="360" w:lineRule="auto"/>
        <w:ind w:left="284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b/>
          <w:sz w:val="22"/>
          <w:lang w:val="sk-SK"/>
        </w:rPr>
        <w:t xml:space="preserve">Adresa: </w:t>
      </w:r>
      <w:r>
        <w:rPr>
          <w:rFonts w:ascii="Arial" w:hAnsi="Arial" w:cs="Arial"/>
          <w:sz w:val="22"/>
          <w:lang w:val="sk-SK"/>
        </w:rPr>
        <w:t>ul. 17. novembra 15, 080 01 Prešov</w:t>
      </w:r>
    </w:p>
    <w:p w:rsidR="00CE53EC" w:rsidRDefault="00CE53EC" w:rsidP="00CE53EC">
      <w:pPr>
        <w:spacing w:line="360" w:lineRule="auto"/>
        <w:ind w:left="540" w:hanging="256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</w:rPr>
        <w:t>Štatutárny zástupca 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prof. RNDr. René Matlovič, PhD., rektor</w:t>
      </w:r>
    </w:p>
    <w:p w:rsidR="00CE53EC" w:rsidRDefault="00CE53EC" w:rsidP="00CE53EC">
      <w:pPr>
        <w:spacing w:line="360" w:lineRule="auto"/>
        <w:ind w:left="540" w:hanging="25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Telefón: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051 7563135</w:t>
      </w:r>
    </w:p>
    <w:p w:rsidR="00CE53EC" w:rsidRPr="00657821" w:rsidRDefault="00CE53EC" w:rsidP="00CE53EC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Kontaktná osoba: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Mária </w:t>
      </w:r>
      <w:proofErr w:type="spellStart"/>
      <w:r>
        <w:rPr>
          <w:rFonts w:ascii="Arial" w:hAnsi="Arial" w:cs="Arial"/>
        </w:rPr>
        <w:t>Germušková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Elektronická pošta: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57821">
        <w:rPr>
          <w:rFonts w:ascii="Arial" w:hAnsi="Arial" w:cs="Arial"/>
          <w:bCs/>
        </w:rPr>
        <w:t>maria.germuskova@unipo.sk</w:t>
      </w:r>
    </w:p>
    <w:p w:rsidR="00CE53EC" w:rsidRDefault="00CE53EC" w:rsidP="00CE53EC">
      <w:pPr>
        <w:ind w:left="284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Internetová adresa: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hyperlink r:id="rId6" w:history="1">
        <w:r w:rsidRPr="00AB71B1">
          <w:rPr>
            <w:rStyle w:val="Hypertextovprepojenie"/>
            <w:rFonts w:ascii="Arial" w:hAnsi="Arial" w:cs="Arial"/>
          </w:rPr>
          <w:t>www.unipo.sk</w:t>
        </w:r>
      </w:hyperlink>
    </w:p>
    <w:p w:rsidR="00CE53EC" w:rsidRDefault="00CE53EC" w:rsidP="00CE53EC">
      <w:pPr>
        <w:pStyle w:val="Zkladntext"/>
        <w:ind w:left="284"/>
        <w:rPr>
          <w:rFonts w:ascii="Arial" w:hAnsi="Arial" w:cs="Arial"/>
          <w:sz w:val="22"/>
        </w:rPr>
      </w:pPr>
    </w:p>
    <w:p w:rsidR="00CE53EC" w:rsidRPr="000F73C5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2F669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Typ zmluvy / objednávka : objednávky </w:t>
      </w:r>
    </w:p>
    <w:p w:rsidR="00CE53EC" w:rsidRDefault="00CE53EC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2F669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Názov predmetu zákazky:</w:t>
      </w:r>
    </w:p>
    <w:p w:rsidR="00CE53EC" w:rsidRPr="0094303C" w:rsidRDefault="002F669A" w:rsidP="00CE53EC">
      <w:pPr>
        <w:pStyle w:val="Zkladntext"/>
        <w:tabs>
          <w:tab w:val="num" w:pos="360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</w:rPr>
        <w:tab/>
      </w:r>
      <w:r w:rsidR="00CE53EC">
        <w:rPr>
          <w:rFonts w:ascii="Arial" w:hAnsi="Arial" w:cs="Arial"/>
          <w:sz w:val="22"/>
        </w:rPr>
        <w:t xml:space="preserve">Na poskytnutie služby s názvom </w:t>
      </w:r>
      <w:r w:rsidR="00CE53EC" w:rsidRPr="002F669A">
        <w:rPr>
          <w:rFonts w:ascii="Arial" w:hAnsi="Arial" w:cs="Arial"/>
          <w:b/>
          <w:sz w:val="22"/>
        </w:rPr>
        <w:t>„Servis(prehliadka) a oprava  motorových vozidiel“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 Stručný opis predmetu zákazky : </w:t>
      </w:r>
    </w:p>
    <w:p w:rsidR="00CE53EC" w:rsidRDefault="002F669A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E53EC">
        <w:rPr>
          <w:rFonts w:ascii="Arial" w:hAnsi="Arial" w:cs="Arial"/>
          <w:sz w:val="22"/>
        </w:rPr>
        <w:t xml:space="preserve">Predmetom zákazky je servis(prehliadka) a oprava  motorových vozidiel </w:t>
      </w:r>
      <w:r>
        <w:rPr>
          <w:rFonts w:ascii="Arial" w:hAnsi="Arial" w:cs="Arial"/>
          <w:sz w:val="22"/>
        </w:rPr>
        <w:t xml:space="preserve">v </w:t>
      </w:r>
      <w:r w:rsidR="00CE53EC">
        <w:rPr>
          <w:rFonts w:ascii="Arial" w:hAnsi="Arial" w:cs="Arial"/>
          <w:sz w:val="22"/>
        </w:rPr>
        <w:t> správe Prešovskej univerzity v Prešove. Presná špecifikácia  je uvedená v nasledovnej tabuľke</w:t>
      </w:r>
    </w:p>
    <w:p w:rsidR="00272305" w:rsidRDefault="00272305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</w:p>
    <w:p w:rsidR="00272305" w:rsidRDefault="00272305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</w:p>
    <w:p w:rsidR="002F669A" w:rsidRDefault="002F669A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</w:p>
    <w:p w:rsidR="004B229F" w:rsidRDefault="004B229F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</w:p>
    <w:p w:rsidR="00272305" w:rsidRDefault="00272305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992"/>
        <w:gridCol w:w="1134"/>
        <w:gridCol w:w="1224"/>
      </w:tblGrid>
      <w:tr w:rsidR="002F669A" w:rsidRPr="00113B42" w:rsidTr="002F669A">
        <w:trPr>
          <w:trHeight w:val="141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ind w:firstLine="459"/>
              <w:rPr>
                <w:sz w:val="16"/>
                <w:szCs w:val="16"/>
              </w:rPr>
            </w:pPr>
          </w:p>
        </w:tc>
      </w:tr>
      <w:tr w:rsidR="002F669A" w:rsidRPr="00113B42" w:rsidTr="002F669A">
        <w:trPr>
          <w:trHeight w:val="429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b/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Motorové vozidlo</w:t>
            </w:r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Značka/typ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b/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Evidenčné číslo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b/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Stav tachometra</w:t>
            </w:r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K 31.12.2013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b/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Palivo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b/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Rok výroby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b/>
                <w:sz w:val="16"/>
                <w:szCs w:val="16"/>
              </w:rPr>
            </w:pPr>
            <w:r w:rsidRPr="00113B42">
              <w:rPr>
                <w:b/>
                <w:sz w:val="16"/>
                <w:szCs w:val="16"/>
              </w:rPr>
              <w:t>Výkon v KW</w:t>
            </w:r>
          </w:p>
        </w:tc>
      </w:tr>
      <w:tr w:rsidR="002F669A" w:rsidRPr="00113B42" w:rsidTr="002F669A">
        <w:trPr>
          <w:trHeight w:val="407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proofErr w:type="spellStart"/>
            <w:r w:rsidRPr="00113B42">
              <w:rPr>
                <w:sz w:val="16"/>
                <w:szCs w:val="16"/>
              </w:rPr>
              <w:t>Opel</w:t>
            </w:r>
            <w:proofErr w:type="spellEnd"/>
            <w:r w:rsidRPr="00113B42">
              <w:rPr>
                <w:sz w:val="16"/>
                <w:szCs w:val="16"/>
              </w:rPr>
              <w:t xml:space="preserve"> </w:t>
            </w:r>
            <w:proofErr w:type="spellStart"/>
            <w:r w:rsidRPr="00113B42">
              <w:rPr>
                <w:sz w:val="16"/>
                <w:szCs w:val="16"/>
              </w:rPr>
              <w:t>Vectra</w:t>
            </w:r>
            <w:proofErr w:type="spellEnd"/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Z-C/BL11/4A12ANDDPMA5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 208DB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285 939,0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nafta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2008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88.00</w:t>
            </w:r>
          </w:p>
        </w:tc>
      </w:tr>
      <w:tr w:rsidR="002F669A" w:rsidRPr="00113B42" w:rsidTr="002F669A">
        <w:trPr>
          <w:trHeight w:val="426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proofErr w:type="spellStart"/>
            <w:r w:rsidRPr="00113B42">
              <w:rPr>
                <w:sz w:val="16"/>
                <w:szCs w:val="16"/>
              </w:rPr>
              <w:t>Opel</w:t>
            </w:r>
            <w:proofErr w:type="spellEnd"/>
            <w:r w:rsidRPr="00113B42">
              <w:rPr>
                <w:sz w:val="16"/>
                <w:szCs w:val="16"/>
              </w:rPr>
              <w:t xml:space="preserve"> </w:t>
            </w:r>
            <w:proofErr w:type="spellStart"/>
            <w:r w:rsidRPr="00113B42">
              <w:rPr>
                <w:sz w:val="16"/>
                <w:szCs w:val="16"/>
              </w:rPr>
              <w:t>Vectra</w:t>
            </w:r>
            <w:proofErr w:type="spellEnd"/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Z-C/BL11/4A12ANDDPMA5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 209DB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241 032,00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nafta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2008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88.00</w:t>
            </w:r>
          </w:p>
        </w:tc>
      </w:tr>
      <w:tr w:rsidR="002F669A" w:rsidRPr="00113B42" w:rsidTr="002F669A">
        <w:trPr>
          <w:trHeight w:val="419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lastRenderedPageBreak/>
              <w:t xml:space="preserve">Škoda </w:t>
            </w:r>
            <w:proofErr w:type="spellStart"/>
            <w:r w:rsidRPr="00113B42">
              <w:rPr>
                <w:sz w:val="16"/>
                <w:szCs w:val="16"/>
              </w:rPr>
              <w:t>Octavia</w:t>
            </w:r>
            <w:proofErr w:type="spellEnd"/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1Z/AABKDX01/NFM6FM62Q009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 633DM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211 770,0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nafta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2009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103.00</w:t>
            </w:r>
          </w:p>
        </w:tc>
      </w:tr>
      <w:tr w:rsidR="002F669A" w:rsidRPr="00113B42" w:rsidTr="002F669A">
        <w:trPr>
          <w:trHeight w:val="411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 xml:space="preserve">Škoda </w:t>
            </w:r>
            <w:proofErr w:type="spellStart"/>
            <w:r w:rsidRPr="00113B42">
              <w:rPr>
                <w:sz w:val="16"/>
                <w:szCs w:val="16"/>
              </w:rPr>
              <w:t>Superb</w:t>
            </w:r>
            <w:proofErr w:type="spellEnd"/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3T/AACBBBX11/NAM6AM62Q018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PO090DM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252 463,0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nafta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2009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125.00</w:t>
            </w:r>
          </w:p>
        </w:tc>
      </w:tr>
      <w:tr w:rsidR="002F669A" w:rsidRPr="00113B42" w:rsidTr="002F669A">
        <w:trPr>
          <w:trHeight w:val="417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 xml:space="preserve">Škoda </w:t>
            </w:r>
            <w:proofErr w:type="spellStart"/>
            <w:r w:rsidRPr="00113B42">
              <w:rPr>
                <w:sz w:val="16"/>
                <w:szCs w:val="16"/>
              </w:rPr>
              <w:t>Superb</w:t>
            </w:r>
            <w:proofErr w:type="spellEnd"/>
            <w:r w:rsidRPr="00113B42">
              <w:rPr>
                <w:sz w:val="16"/>
                <w:szCs w:val="16"/>
              </w:rPr>
              <w:t xml:space="preserve"> 1,8I T 3U</w:t>
            </w:r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STAWTX01FM5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PO288BS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503 213,0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benzín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2003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110.00</w:t>
            </w:r>
          </w:p>
        </w:tc>
      </w:tr>
      <w:tr w:rsidR="002F669A" w:rsidRPr="00113B42" w:rsidTr="002F669A">
        <w:trPr>
          <w:trHeight w:val="408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SEAT INCA OA-M1-K</w:t>
            </w:r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9K/APQ/9G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PO309AP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252 115,0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benzín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1999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44/4700</w:t>
            </w:r>
          </w:p>
        </w:tc>
      </w:tr>
      <w:tr w:rsidR="002F669A" w:rsidRPr="00113B42" w:rsidTr="002F669A">
        <w:trPr>
          <w:trHeight w:val="429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Fiat N1</w:t>
            </w:r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244/CSMAC/AY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PO540CD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173 500,0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nafta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2005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81.00</w:t>
            </w:r>
          </w:p>
        </w:tc>
      </w:tr>
      <w:tr w:rsidR="002F669A" w:rsidRPr="00113B42" w:rsidTr="002F669A">
        <w:trPr>
          <w:trHeight w:val="393"/>
        </w:trPr>
        <w:tc>
          <w:tcPr>
            <w:tcW w:w="2943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proofErr w:type="spellStart"/>
            <w:r w:rsidRPr="00113B42">
              <w:rPr>
                <w:sz w:val="16"/>
                <w:szCs w:val="16"/>
              </w:rPr>
              <w:t>Reanault</w:t>
            </w:r>
            <w:proofErr w:type="spellEnd"/>
            <w:r w:rsidRPr="00113B42">
              <w:rPr>
                <w:sz w:val="16"/>
                <w:szCs w:val="16"/>
              </w:rPr>
              <w:t xml:space="preserve">  </w:t>
            </w:r>
            <w:proofErr w:type="spellStart"/>
            <w:r w:rsidRPr="00113B42">
              <w:rPr>
                <w:sz w:val="16"/>
                <w:szCs w:val="16"/>
              </w:rPr>
              <w:t>Master</w:t>
            </w:r>
            <w:proofErr w:type="spellEnd"/>
            <w:r w:rsidRPr="00113B42">
              <w:rPr>
                <w:sz w:val="16"/>
                <w:szCs w:val="16"/>
              </w:rPr>
              <w:t xml:space="preserve">  ND-BUS</w:t>
            </w:r>
          </w:p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NDDCL5</w:t>
            </w:r>
          </w:p>
        </w:tc>
        <w:tc>
          <w:tcPr>
            <w:tcW w:w="1560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PO969AR</w:t>
            </w:r>
          </w:p>
        </w:tc>
        <w:tc>
          <w:tcPr>
            <w:tcW w:w="1701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358 987,0</w:t>
            </w:r>
          </w:p>
        </w:tc>
        <w:tc>
          <w:tcPr>
            <w:tcW w:w="992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nafta</w:t>
            </w:r>
          </w:p>
        </w:tc>
        <w:tc>
          <w:tcPr>
            <w:tcW w:w="113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1998</w:t>
            </w:r>
          </w:p>
        </w:tc>
        <w:tc>
          <w:tcPr>
            <w:tcW w:w="1224" w:type="dxa"/>
            <w:shd w:val="clear" w:color="auto" w:fill="auto"/>
          </w:tcPr>
          <w:p w:rsidR="002F669A" w:rsidRPr="00113B42" w:rsidRDefault="002F669A" w:rsidP="006C1D1D">
            <w:pPr>
              <w:rPr>
                <w:sz w:val="16"/>
                <w:szCs w:val="16"/>
              </w:rPr>
            </w:pPr>
            <w:r w:rsidRPr="00113B42">
              <w:rPr>
                <w:sz w:val="16"/>
                <w:szCs w:val="16"/>
              </w:rPr>
              <w:t>84/3600</w:t>
            </w:r>
          </w:p>
        </w:tc>
      </w:tr>
    </w:tbl>
    <w:p w:rsidR="00CE53EC" w:rsidRPr="00547B48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16"/>
          <w:szCs w:val="16"/>
        </w:rPr>
      </w:pPr>
    </w:p>
    <w:p w:rsidR="004B229F" w:rsidRDefault="004B229F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</w:p>
    <w:p w:rsidR="00CE53EC" w:rsidRPr="002F669A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b/>
          <w:sz w:val="22"/>
        </w:rPr>
      </w:pPr>
      <w:r w:rsidRPr="002F669A">
        <w:rPr>
          <w:rFonts w:ascii="Arial" w:hAnsi="Arial" w:cs="Arial"/>
          <w:b/>
          <w:sz w:val="22"/>
        </w:rPr>
        <w:t>Predmet zákazky zahrňuje:</w:t>
      </w:r>
    </w:p>
    <w:p w:rsidR="00CE53EC" w:rsidRDefault="00CE53EC" w:rsidP="002F669A">
      <w:pPr>
        <w:pStyle w:val="Zkladntext"/>
        <w:tabs>
          <w:tab w:val="num" w:pos="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Mechanické práce, klampiarske práce, lakovnícke práce, auto elektrikárske práce a bežné opravy </w:t>
      </w:r>
      <w:r w:rsidR="002F66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motorových vozidiel, výmeny dielov a súčiastok, servisné prehliadky a všetky ostatné služby súvisiace s údržbou motorových vozidiel(príprava na STK, odstránenie </w:t>
      </w:r>
      <w:proofErr w:type="spellStart"/>
      <w:r>
        <w:rPr>
          <w:rFonts w:ascii="Arial" w:hAnsi="Arial" w:cs="Arial"/>
          <w:sz w:val="22"/>
        </w:rPr>
        <w:t>závad</w:t>
      </w:r>
      <w:proofErr w:type="spellEnd"/>
      <w:r>
        <w:rPr>
          <w:rFonts w:ascii="Arial" w:hAnsi="Arial" w:cs="Arial"/>
          <w:sz w:val="22"/>
        </w:rPr>
        <w:t xml:space="preserve"> na základe protokolu z STK, výmena tlmičov, čapov, brzdových systémov, výmena oleja, filtrov, oprava elektroinštalácie, výmena tesnení, opravy, dodávka a výmena pneumatík s vyvážením kolies, opravy karosérie a všetky práce súvisiace s opravou motorových vozidiel.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Kontaktná osoba 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Doplnkovú službu v prípade napr. realizácie STK a pod.</w:t>
      </w:r>
    </w:p>
    <w:p w:rsidR="002F669A" w:rsidRDefault="002F669A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</w:p>
    <w:p w:rsidR="002F669A" w:rsidRDefault="00CE53EC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Miesto dodania a lehota predmetu zákazky:</w:t>
      </w:r>
    </w:p>
    <w:p w:rsidR="00CE53EC" w:rsidRDefault="002F669A" w:rsidP="00CE53EC">
      <w:pPr>
        <w:pStyle w:val="Zkladntext"/>
        <w:tabs>
          <w:tab w:val="num" w:pos="3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CE53EC">
        <w:rPr>
          <w:rFonts w:ascii="Arial" w:hAnsi="Arial" w:cs="Arial"/>
          <w:sz w:val="22"/>
        </w:rPr>
        <w:t xml:space="preserve"> Ul.17.novembra 15, 080 01 Prešov ,objekty a pracoviská PU</w:t>
      </w:r>
    </w:p>
    <w:p w:rsidR="00CE53EC" w:rsidRDefault="00CE53EC" w:rsidP="00CE53EC">
      <w:pPr>
        <w:pStyle w:val="Zkladntext"/>
        <w:rPr>
          <w:rFonts w:ascii="Arial" w:hAnsi="Arial" w:cs="Arial"/>
          <w:b/>
          <w:sz w:val="22"/>
        </w:rPr>
      </w:pPr>
    </w:p>
    <w:p w:rsidR="00CE53EC" w:rsidRDefault="00CE53EC" w:rsidP="00CE53EC">
      <w:pPr>
        <w:pStyle w:val="Zkladntext"/>
        <w:tabs>
          <w:tab w:val="left" w:pos="284"/>
          <w:tab w:val="left" w:pos="426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6.  Klasifikácia</w:t>
      </w:r>
    </w:p>
    <w:p w:rsidR="00CE53EC" w:rsidRDefault="00CE53EC" w:rsidP="00CE53EC">
      <w:pPr>
        <w:pStyle w:val="Zkladntext"/>
        <w:tabs>
          <w:tab w:val="left" w:pos="284"/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6.1 Spoločný slovník obstarávania (CPV):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b/>
          <w:sz w:val="22"/>
        </w:rPr>
        <w:tab/>
        <w:t>Hlavný predmet:</w:t>
      </w:r>
      <w:r>
        <w:rPr>
          <w:rFonts w:ascii="Arial" w:hAnsi="Arial" w:cs="Arial"/>
          <w:sz w:val="22"/>
        </w:rPr>
        <w:t xml:space="preserve"> 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50112000-3 Oprava a údržba osobných motorových vozidiel</w:t>
      </w:r>
    </w:p>
    <w:p w:rsidR="002F669A" w:rsidRDefault="00CE53EC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CE53EC" w:rsidRPr="002F669A" w:rsidRDefault="00CE53EC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2F669A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Rozsah predmetu obstarávania</w:t>
      </w:r>
    </w:p>
    <w:p w:rsidR="00CE53EC" w:rsidRDefault="00CE53EC" w:rsidP="00CE53EC">
      <w:pPr>
        <w:pStyle w:val="Zkladntext"/>
        <w:tabs>
          <w:tab w:val="num" w:pos="3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Rozsah predmetu obstarávania je uvedený v Opise premetu zákazky.*</w:t>
      </w:r>
    </w:p>
    <w:p w:rsidR="00CE53EC" w:rsidRPr="009C495F" w:rsidRDefault="002F669A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CE53EC" w:rsidRPr="009C495F">
        <w:rPr>
          <w:rFonts w:ascii="Arial" w:hAnsi="Arial" w:cs="Arial"/>
          <w:sz w:val="22"/>
        </w:rPr>
        <w:t>Viď príloha-</w:t>
      </w:r>
      <w:r w:rsidR="00CE53EC">
        <w:rPr>
          <w:rFonts w:ascii="Arial" w:hAnsi="Arial" w:cs="Arial"/>
          <w:sz w:val="22"/>
        </w:rPr>
        <w:t xml:space="preserve"> </w:t>
      </w:r>
      <w:r w:rsidR="00CE53EC" w:rsidRPr="009C495F">
        <w:rPr>
          <w:rFonts w:ascii="Arial" w:hAnsi="Arial" w:cs="Arial"/>
          <w:sz w:val="22"/>
        </w:rPr>
        <w:t>tabuľka</w:t>
      </w:r>
    </w:p>
    <w:p w:rsidR="00CE53EC" w:rsidRDefault="00CE53EC" w:rsidP="00CE53E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E53EC" w:rsidRDefault="00CE53EC" w:rsidP="002F669A">
      <w:pPr>
        <w:pStyle w:val="Zarkazkladnhotextu2"/>
        <w:spacing w:line="240" w:lineRule="auto"/>
        <w:ind w:left="0" w:firstLine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Celková predpokladaná hodnota zákazky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2F669A">
        <w:rPr>
          <w:rFonts w:ascii="Arial" w:hAnsi="Arial" w:cs="Arial"/>
          <w:b/>
          <w:sz w:val="22"/>
          <w:szCs w:val="22"/>
          <w:lang w:val="sk-SK"/>
        </w:rPr>
        <w:t>:do 19 999,-</w:t>
      </w:r>
      <w:r>
        <w:rPr>
          <w:rFonts w:ascii="Arial" w:hAnsi="Arial" w:cs="Arial"/>
          <w:b/>
          <w:sz w:val="22"/>
          <w:szCs w:val="22"/>
          <w:lang w:val="sk-SK"/>
        </w:rPr>
        <w:t xml:space="preserve"> € bez DPH.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CE53EC" w:rsidRDefault="002F669A" w:rsidP="00CE53EC">
      <w:pPr>
        <w:pStyle w:val="Zarkazkladnhotextu2"/>
        <w:spacing w:line="240" w:lineRule="auto"/>
        <w:ind w:left="0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 xml:space="preserve">       </w:t>
      </w:r>
      <w:r w:rsidR="00CE53EC">
        <w:rPr>
          <w:rFonts w:ascii="Arial" w:hAnsi="Arial" w:cs="Arial"/>
          <w:sz w:val="22"/>
          <w:lang w:val="sk-SK"/>
        </w:rPr>
        <w:t>Podrobná špecifikácia predmetu zákazky je v prílohe Výzvy.*</w:t>
      </w:r>
    </w:p>
    <w:p w:rsidR="002F669A" w:rsidRDefault="002F669A" w:rsidP="00CE53EC">
      <w:pPr>
        <w:pStyle w:val="Zarkazkladnhotextu2"/>
        <w:spacing w:line="240" w:lineRule="auto"/>
        <w:ind w:left="0"/>
        <w:jc w:val="both"/>
        <w:rPr>
          <w:rFonts w:ascii="Arial" w:hAnsi="Arial" w:cs="Arial"/>
          <w:sz w:val="22"/>
          <w:lang w:val="sk-SK"/>
        </w:rPr>
      </w:pPr>
    </w:p>
    <w:p w:rsidR="00CE53EC" w:rsidRDefault="00CE53EC" w:rsidP="00CE53E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Rozdelenie predmetu obstarávania na časti </w:t>
      </w:r>
    </w:p>
    <w:p w:rsidR="00CE53EC" w:rsidRDefault="00CE53EC" w:rsidP="00CE53EC">
      <w:pPr>
        <w:tabs>
          <w:tab w:val="num" w:pos="900"/>
        </w:tabs>
        <w:ind w:left="540" w:right="-108"/>
        <w:rPr>
          <w:rFonts w:ascii="Arial" w:hAnsi="Arial" w:cs="Arial"/>
        </w:rPr>
      </w:pPr>
      <w:r>
        <w:rPr>
          <w:rFonts w:ascii="Arial" w:hAnsi="Arial" w:cs="Arial"/>
        </w:rPr>
        <w:t>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A4FA8">
        <w:rPr>
          <w:rFonts w:ascii="Arial" w:hAnsi="Arial" w:cs="Arial"/>
        </w:rPr>
      </w:r>
      <w:r w:rsidR="003A4F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Zaškrtávací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A4FA8">
        <w:rPr>
          <w:rFonts w:ascii="Arial" w:hAnsi="Arial" w:cs="Arial"/>
        </w:rPr>
      </w:r>
      <w:r w:rsidR="003A4F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Možnosť predloženia variantných riešení</w:t>
      </w:r>
    </w:p>
    <w:p w:rsidR="00CE53EC" w:rsidRDefault="00CE53EC" w:rsidP="00CE53EC">
      <w:pPr>
        <w:tabs>
          <w:tab w:val="num" w:pos="900"/>
        </w:tabs>
        <w:ind w:left="540" w:right="-108"/>
        <w:rPr>
          <w:rFonts w:ascii="Arial" w:hAnsi="Arial" w:cs="Arial"/>
        </w:rPr>
      </w:pPr>
      <w:r>
        <w:rPr>
          <w:rFonts w:ascii="Arial" w:hAnsi="Arial" w:cs="Arial"/>
        </w:rPr>
        <w:t>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A4FA8">
        <w:rPr>
          <w:rFonts w:ascii="Arial" w:hAnsi="Arial" w:cs="Arial"/>
        </w:rPr>
      </w:r>
      <w:r w:rsidR="003A4F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A4FA8">
        <w:rPr>
          <w:rFonts w:ascii="Arial" w:hAnsi="Arial" w:cs="Arial"/>
        </w:rPr>
      </w:r>
      <w:r w:rsidR="003A4FA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Trvanie zmluvy alebo lehota pre ukončenie dodávky: objednávky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- 12 mesiacov odo dňa podpisu objednávky, resp. do naplnenia finančného limitu platného pre zákazku podľa § 9,odst.9,t.j. 19 999,0 € bez DPH v závislosti od toho, ktorý skutok nastane skôr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- predmet zákazky bude realizovaný formou čiastkových objednávok obstarávateľa</w:t>
      </w:r>
    </w:p>
    <w:p w:rsidR="00272305" w:rsidRDefault="00272305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72305" w:rsidRPr="00272305" w:rsidRDefault="00CE53EC" w:rsidP="00272305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11. Hlavné podmienky financovania a platobné podmienky alebo odkazy na   dokumenty, v ktorých sa uvádzajú </w:t>
      </w:r>
    </w:p>
    <w:p w:rsidR="00CE53EC" w:rsidRDefault="00CE53EC" w:rsidP="00CE53EC">
      <w:pPr>
        <w:ind w:left="426"/>
        <w:rPr>
          <w:rFonts w:ascii="Arial" w:hAnsi="Arial" w:cs="Arial"/>
          <w:iCs/>
        </w:rPr>
      </w:pPr>
      <w:r w:rsidRPr="00A36C48">
        <w:rPr>
          <w:rFonts w:ascii="Arial" w:hAnsi="Arial" w:cs="Arial"/>
          <w:b/>
          <w:iCs/>
          <w:u w:val="single"/>
        </w:rPr>
        <w:t>Predmet zákazky bude financovaný z finančných prostriedkov verejného</w:t>
      </w:r>
      <w:r w:rsidRPr="00A36C48">
        <w:rPr>
          <w:rFonts w:ascii="Arial" w:hAnsi="Arial" w:cs="Arial"/>
          <w:b/>
          <w:iCs/>
        </w:rPr>
        <w:t xml:space="preserve"> </w:t>
      </w:r>
      <w:r w:rsidRPr="00A36C48">
        <w:rPr>
          <w:rFonts w:ascii="Arial" w:hAnsi="Arial" w:cs="Arial"/>
          <w:b/>
          <w:iCs/>
          <w:u w:val="single"/>
        </w:rPr>
        <w:t>obstarávateľa</w:t>
      </w:r>
      <w:r w:rsidRPr="00A36C48">
        <w:rPr>
          <w:rFonts w:ascii="Arial" w:hAnsi="Arial" w:cs="Arial"/>
          <w:iCs/>
          <w:u w:val="single"/>
        </w:rPr>
        <w:t>,</w:t>
      </w:r>
      <w:r>
        <w:rPr>
          <w:rFonts w:ascii="Arial" w:hAnsi="Arial" w:cs="Arial"/>
          <w:iCs/>
        </w:rPr>
        <w:t xml:space="preserve"> </w:t>
      </w:r>
    </w:p>
    <w:tbl>
      <w:tblPr>
        <w:tblW w:w="5000" w:type="pct"/>
        <w:tblCellSpacing w:w="37" w:type="dxa"/>
        <w:tblInd w:w="7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"/>
        <w:gridCol w:w="9529"/>
      </w:tblGrid>
      <w:tr w:rsidR="00CE53EC" w:rsidTr="006C1D1D">
        <w:trPr>
          <w:tblCellSpacing w:w="37" w:type="dxa"/>
        </w:trPr>
        <w:tc>
          <w:tcPr>
            <w:tcW w:w="0" w:type="auto"/>
            <w:vAlign w:val="center"/>
            <w:hideMark/>
          </w:tcPr>
          <w:p w:rsidR="00CE53EC" w:rsidRDefault="00CE53EC" w:rsidP="006C1D1D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iCs/>
              </w:rPr>
              <w:t xml:space="preserve">     </w:t>
            </w:r>
            <w:r>
              <w:rPr>
                <w:rFonts w:ascii="Arial" w:hAnsi="Arial" w:cs="Arial"/>
                <w:iCs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CE53EC" w:rsidRDefault="00CE53EC" w:rsidP="006C1D1D">
            <w:pPr>
              <w:ind w:left="272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Verejný obstarávateľ neposkytuje preddavky ani zálohové platby. Platba bude  realizovaná   formou   bezhotovostného platobného styku,  prostredníctvom finančného úradu verejného  obstarávateľa na základe faktúry, vystavenej poskytovateľom. Lehota splatnosti faktúr bude </w:t>
            </w:r>
            <w:r w:rsidRPr="00D017DC">
              <w:rPr>
                <w:rFonts w:ascii="Arial" w:hAnsi="Arial" w:cs="Arial"/>
                <w:bdr w:val="none" w:sz="0" w:space="0" w:color="auto" w:frame="1"/>
              </w:rPr>
              <w:t xml:space="preserve">minimálne  </w:t>
            </w:r>
            <w:r>
              <w:rPr>
                <w:rFonts w:ascii="Arial" w:hAnsi="Arial" w:cs="Arial"/>
                <w:bdr w:val="none" w:sz="0" w:space="0" w:color="auto" w:frame="1"/>
              </w:rPr>
              <w:t>14</w:t>
            </w:r>
            <w:r w:rsidRPr="00D017DC">
              <w:rPr>
                <w:rFonts w:ascii="Arial" w:hAnsi="Arial" w:cs="Arial"/>
                <w:bdr w:val="none" w:sz="0" w:space="0" w:color="auto" w:frame="1"/>
              </w:rPr>
              <w:t xml:space="preserve"> dní.*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  </w:t>
            </w:r>
          </w:p>
        </w:tc>
      </w:tr>
    </w:tbl>
    <w:p w:rsidR="00CE53EC" w:rsidRDefault="00CE53EC" w:rsidP="00CE53EC">
      <w:pPr>
        <w:pStyle w:val="Zkladntext"/>
        <w:rPr>
          <w:rFonts w:ascii="Arial" w:hAnsi="Arial" w:cs="Arial"/>
          <w:sz w:val="22"/>
          <w:szCs w:val="20"/>
        </w:rPr>
      </w:pP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12. Podmienky účasti uchádzačov: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vyplnená tabuľka s návrhom cien- príloha č.1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-</w:t>
      </w:r>
      <w:r w:rsidRPr="000E1F1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poskytnutie zľavy  na použité </w:t>
      </w:r>
      <w:proofErr w:type="spellStart"/>
      <w:r>
        <w:rPr>
          <w:rFonts w:ascii="Arial" w:hAnsi="Arial" w:cs="Arial"/>
          <w:sz w:val="22"/>
        </w:rPr>
        <w:t>náhr</w:t>
      </w:r>
      <w:proofErr w:type="spellEnd"/>
      <w:r>
        <w:rPr>
          <w:rFonts w:ascii="Arial" w:hAnsi="Arial" w:cs="Arial"/>
          <w:sz w:val="22"/>
        </w:rPr>
        <w:t>. diely – originál a </w:t>
      </w:r>
      <w:proofErr w:type="spellStart"/>
      <w:r>
        <w:rPr>
          <w:rFonts w:ascii="Arial" w:hAnsi="Arial" w:cs="Arial"/>
          <w:sz w:val="22"/>
        </w:rPr>
        <w:t>neoriginál</w:t>
      </w:r>
      <w:proofErr w:type="spellEnd"/>
      <w:r>
        <w:rPr>
          <w:rFonts w:ascii="Arial" w:hAnsi="Arial" w:cs="Arial"/>
          <w:sz w:val="22"/>
        </w:rPr>
        <w:t xml:space="preserve"> cenníkových cien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servis sa musí nachádzať v rozpätí do 5 km od miesta dodania zákazky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prednostné vykonanie servisných prác a to: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-servisné prehliadky v zmysle serv. knižky a malé opravy (výmena tlmičov, čapov, bŕzd. systémov...) do 8 hod. od prevzatia servisným technikom  resp. podľa dohody ,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-stredné opravy (</w:t>
      </w:r>
      <w:proofErr w:type="spellStart"/>
      <w:r>
        <w:rPr>
          <w:rFonts w:ascii="Arial" w:hAnsi="Arial" w:cs="Arial"/>
          <w:sz w:val="22"/>
        </w:rPr>
        <w:t>závady</w:t>
      </w:r>
      <w:proofErr w:type="spellEnd"/>
      <w:r>
        <w:rPr>
          <w:rFonts w:ascii="Arial" w:hAnsi="Arial" w:cs="Arial"/>
          <w:sz w:val="22"/>
        </w:rPr>
        <w:t xml:space="preserve"> väčšieho rozsahu výmena tesnení, elektroinštalácia... ) do 48hod. od prevzatia servisným technikom 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-oprava havarovaného vozidla podľa rozsahu škody max do 30 kalendárnych dní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-reklamačné opravy do 48 hod.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-asistenčná služba v prípade </w:t>
      </w:r>
      <w:proofErr w:type="spellStart"/>
      <w:r>
        <w:rPr>
          <w:rFonts w:ascii="Arial" w:hAnsi="Arial" w:cs="Arial"/>
          <w:sz w:val="22"/>
        </w:rPr>
        <w:t>odťahu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mot</w:t>
      </w:r>
      <w:proofErr w:type="spellEnd"/>
      <w:r>
        <w:rPr>
          <w:rFonts w:ascii="Arial" w:hAnsi="Arial" w:cs="Arial"/>
          <w:sz w:val="22"/>
        </w:rPr>
        <w:t>. vozidla pri poruche</w:t>
      </w:r>
    </w:p>
    <w:p w:rsidR="00CE53EC" w:rsidRDefault="00CE53EC" w:rsidP="00CE53EC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bez tretích osôb(subdodávateľov)</w:t>
      </w:r>
    </w:p>
    <w:p w:rsidR="00CE53EC" w:rsidRDefault="00CE53EC" w:rsidP="00CE53EC">
      <w:pPr>
        <w:pStyle w:val="Zkladntex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12.1 Hlavné podmienky:</w:t>
      </w:r>
    </w:p>
    <w:p w:rsidR="00272305" w:rsidRPr="004B229F" w:rsidRDefault="00CE53EC" w:rsidP="004B229F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sz w:val="22"/>
        </w:rPr>
        <w:t xml:space="preserve"> doklad o oprávnení poskytovať služby- obstarávateľ akceptuje aj kópie dokladov</w:t>
      </w:r>
    </w:p>
    <w:p w:rsidR="00CE53EC" w:rsidRDefault="00CE53EC" w:rsidP="00CE53EC">
      <w:pPr>
        <w:pStyle w:val="Zarkazkladnhotextu3"/>
        <w:ind w:left="0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 xml:space="preserve">12.2 Ďalšie podmienky účasti uchádzačov: </w:t>
      </w:r>
    </w:p>
    <w:p w:rsidR="00CE53EC" w:rsidRPr="00FB4923" w:rsidRDefault="00CE53EC" w:rsidP="00CE53EC">
      <w:pPr>
        <w:pStyle w:val="slovanzoznam2"/>
        <w:numPr>
          <w:ilvl w:val="0"/>
          <w:numId w:val="0"/>
        </w:numPr>
        <w:tabs>
          <w:tab w:val="left" w:pos="708"/>
        </w:tabs>
        <w:ind w:left="480"/>
        <w:rPr>
          <w:rFonts w:ascii="Arial" w:hAnsi="Arial" w:cs="Arial"/>
          <w:sz w:val="22"/>
          <w:szCs w:val="22"/>
        </w:rPr>
      </w:pPr>
      <w:r w:rsidRPr="00FB4923">
        <w:rPr>
          <w:rFonts w:ascii="Arial" w:hAnsi="Arial" w:cs="Arial"/>
          <w:sz w:val="22"/>
          <w:szCs w:val="22"/>
        </w:rPr>
        <w:t>12.2.1  Uchádzač predloží vyplnený formulár „</w:t>
      </w:r>
      <w:r w:rsidRPr="00FB4923">
        <w:rPr>
          <w:rFonts w:ascii="Arial" w:hAnsi="Arial" w:cs="Arial"/>
          <w:b/>
          <w:sz w:val="22"/>
          <w:szCs w:val="22"/>
        </w:rPr>
        <w:t>Návrh uchádzača na plnenie kritéria na hodnotenie ponúk</w:t>
      </w:r>
      <w:r w:rsidRPr="00FB4923">
        <w:rPr>
          <w:rFonts w:ascii="Arial" w:hAnsi="Arial" w:cs="Arial"/>
          <w:sz w:val="22"/>
          <w:szCs w:val="22"/>
        </w:rPr>
        <w:t xml:space="preserve">“ uvedený v prílohe Výzvy na predkladanie ponúk.  Formulár musí byť </w:t>
      </w:r>
      <w:r w:rsidRPr="00FB4923">
        <w:rPr>
          <w:rFonts w:ascii="Arial" w:hAnsi="Arial" w:cs="Arial"/>
          <w:sz w:val="22"/>
          <w:szCs w:val="22"/>
        </w:rPr>
        <w:lastRenderedPageBreak/>
        <w:t>podpísaný uchádzačom, jeho štatutárnym orgánom alebo iným zástupcom uchádzača, ktorý je oprávnený konať v mene uchádzača.</w:t>
      </w:r>
    </w:p>
    <w:p w:rsidR="00CE53EC" w:rsidRPr="00FB4923" w:rsidRDefault="00CE53EC" w:rsidP="00CE53EC">
      <w:pPr>
        <w:tabs>
          <w:tab w:val="num" w:pos="900"/>
        </w:tabs>
        <w:ind w:left="709"/>
        <w:jc w:val="both"/>
        <w:rPr>
          <w:rFonts w:ascii="Arial" w:hAnsi="Arial" w:cs="Arial"/>
        </w:rPr>
      </w:pPr>
    </w:p>
    <w:p w:rsidR="00CE53EC" w:rsidRDefault="00CE53EC" w:rsidP="00CE53EC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 Použitie  elektronickej aukcie</w:t>
      </w:r>
    </w:p>
    <w:p w:rsidR="00CE53EC" w:rsidRPr="00FB4923" w:rsidRDefault="00CE53EC" w:rsidP="00CE53EC">
      <w:pPr>
        <w:pStyle w:val="Zkladntext"/>
        <w:ind w:left="426"/>
        <w:rPr>
          <w:rFonts w:ascii="Arial" w:hAnsi="Arial" w:cs="Arial"/>
          <w:b/>
          <w:sz w:val="22"/>
        </w:rPr>
      </w:pPr>
      <w:r w:rsidRPr="00FB4923">
        <w:rPr>
          <w:rFonts w:ascii="Arial" w:hAnsi="Arial" w:cs="Arial"/>
          <w:b/>
          <w:sz w:val="22"/>
        </w:rPr>
        <w:t xml:space="preserve"> Verejný obstarávateľ pri vyhodnotení predložených  ponúk </w:t>
      </w:r>
      <w:r w:rsidRPr="00FB4923">
        <w:rPr>
          <w:rFonts w:ascii="Arial" w:hAnsi="Arial" w:cs="Arial"/>
          <w:b/>
          <w:sz w:val="22"/>
          <w:u w:val="single"/>
        </w:rPr>
        <w:t>nepoužije</w:t>
      </w:r>
      <w:r w:rsidRPr="00FB4923">
        <w:rPr>
          <w:rFonts w:ascii="Arial" w:hAnsi="Arial" w:cs="Arial"/>
          <w:b/>
          <w:sz w:val="22"/>
        </w:rPr>
        <w:t xml:space="preserve">  elektronickú aukciu    podľa § 43 zákona o verejnom obstarávaní.</w:t>
      </w:r>
    </w:p>
    <w:p w:rsidR="00CE53EC" w:rsidRDefault="00CE53EC" w:rsidP="00CE53EC">
      <w:pPr>
        <w:pStyle w:val="Zkladntext"/>
        <w:ind w:left="426"/>
        <w:rPr>
          <w:rFonts w:ascii="Arial" w:hAnsi="Arial" w:cs="Arial"/>
          <w:b/>
          <w:sz w:val="22"/>
        </w:rPr>
      </w:pPr>
    </w:p>
    <w:p w:rsidR="00CE53EC" w:rsidRDefault="00CE53EC" w:rsidP="00CE53EC">
      <w:pPr>
        <w:pStyle w:val="Nadpis5"/>
        <w:tabs>
          <w:tab w:val="left" w:pos="1260"/>
          <w:tab w:val="left" w:pos="1980"/>
          <w:tab w:val="left" w:pos="540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14.  Lehota  a miesto na predkladanie ponúk :     </w:t>
      </w:r>
    </w:p>
    <w:p w:rsidR="00CE53EC" w:rsidRDefault="00CE53EC" w:rsidP="00CE53EC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 do</w:t>
      </w:r>
      <w:r>
        <w:rPr>
          <w:rFonts w:ascii="Arial" w:hAnsi="Arial" w:cs="Arial"/>
          <w:b/>
        </w:rPr>
        <w:t xml:space="preserve"> 2</w:t>
      </w:r>
      <w:r w:rsidR="00FB492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.01.2014  </w:t>
      </w:r>
      <w:r>
        <w:rPr>
          <w:rFonts w:ascii="Arial" w:hAnsi="Arial" w:cs="Arial"/>
        </w:rPr>
        <w:t>čas: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do</w:t>
      </w:r>
      <w:r>
        <w:rPr>
          <w:rFonts w:ascii="Arial" w:hAnsi="Arial" w:cs="Arial"/>
          <w:b/>
          <w:bCs/>
        </w:rPr>
        <w:t xml:space="preserve"> 14,00  </w:t>
      </w:r>
      <w:r>
        <w:rPr>
          <w:rFonts w:ascii="Arial" w:hAnsi="Arial" w:cs="Arial"/>
          <w:bCs/>
        </w:rPr>
        <w:t>hodiny</w:t>
      </w:r>
      <w:r>
        <w:rPr>
          <w:rFonts w:ascii="Arial" w:hAnsi="Arial" w:cs="Arial"/>
        </w:rPr>
        <w:t xml:space="preserve"> na adresu uvedenú v bode 1 tejto výzvy osobne, poštovou zásielkou alebo e-mailom na adresu: </w:t>
      </w:r>
      <w:hyperlink r:id="rId7" w:history="1">
        <w:r w:rsidRPr="002537A4">
          <w:rPr>
            <w:rStyle w:val="Hypertextovprepojenie"/>
            <w:rFonts w:ascii="Arial" w:hAnsi="Arial" w:cs="Arial"/>
          </w:rPr>
          <w:t>maria.germuskova@unipo.sk</w:t>
        </w:r>
      </w:hyperlink>
      <w:r>
        <w:rPr>
          <w:rFonts w:ascii="Arial" w:hAnsi="Arial" w:cs="Arial"/>
        </w:rPr>
        <w:t xml:space="preserve"> s predmetom správy  :“servis motorových vozidiel „ –súťaž neotvárať   </w:t>
      </w:r>
    </w:p>
    <w:p w:rsidR="00CE53EC" w:rsidRDefault="00CE53EC" w:rsidP="00CE53EC">
      <w:pPr>
        <w:pStyle w:val="slovanzoznam2"/>
        <w:numPr>
          <w:ilvl w:val="0"/>
          <w:numId w:val="3"/>
        </w:numPr>
        <w:tabs>
          <w:tab w:val="left" w:pos="1080"/>
        </w:tabs>
        <w:spacing w:before="120"/>
        <w:ind w:left="426" w:hanging="426"/>
        <w:contextualSpacing w:val="0"/>
        <w:jc w:val="both"/>
        <w:rPr>
          <w:b/>
        </w:rPr>
      </w:pPr>
      <w:r>
        <w:rPr>
          <w:b/>
        </w:rPr>
        <w:t>Obal ponuky musí obsahovať nasledovné údaje</w:t>
      </w:r>
      <w:r>
        <w:t xml:space="preserve"> :</w:t>
      </w:r>
    </w:p>
    <w:p w:rsidR="00CE53EC" w:rsidRDefault="00CE53EC" w:rsidP="00CE53EC">
      <w:pPr>
        <w:pStyle w:val="slovanzoznam3"/>
        <w:numPr>
          <w:ilvl w:val="0"/>
          <w:numId w:val="0"/>
        </w:numPr>
        <w:tabs>
          <w:tab w:val="left" w:pos="708"/>
        </w:tabs>
        <w:spacing w:before="20"/>
        <w:ind w:left="851" w:hanging="284"/>
      </w:pPr>
      <w:r>
        <w:t>15.1 Adresu uvedenú v bode 1. tejto Výzvy</w:t>
      </w:r>
    </w:p>
    <w:p w:rsidR="00CE53EC" w:rsidRDefault="00CE53EC" w:rsidP="00CE53EC">
      <w:pPr>
        <w:pStyle w:val="slovanzoznam3"/>
        <w:numPr>
          <w:ilvl w:val="1"/>
          <w:numId w:val="3"/>
        </w:numPr>
        <w:tabs>
          <w:tab w:val="left" w:pos="708"/>
          <w:tab w:val="num" w:pos="926"/>
        </w:tabs>
        <w:spacing w:before="20"/>
        <w:ind w:left="1276" w:hanging="567"/>
        <w:contextualSpacing w:val="0"/>
        <w:jc w:val="both"/>
      </w:pPr>
      <w:r>
        <w:t xml:space="preserve"> Adresu uchádzača (názov alebo obchodné meno a adresu sídla alebo miesta podnikania).V prípade ak ponuku predkladá skupina dodávateľov, tak uvedie aj adresy všetkých členov skupiny dodávateľov.</w:t>
      </w:r>
    </w:p>
    <w:p w:rsidR="00CE53EC" w:rsidRDefault="00CE53EC" w:rsidP="00CE53EC">
      <w:pPr>
        <w:pStyle w:val="slovanzoznam3"/>
        <w:numPr>
          <w:ilvl w:val="1"/>
          <w:numId w:val="3"/>
        </w:numPr>
        <w:tabs>
          <w:tab w:val="left" w:pos="708"/>
          <w:tab w:val="num" w:pos="926"/>
        </w:tabs>
        <w:spacing w:before="20"/>
        <w:ind w:left="1276" w:hanging="567"/>
        <w:contextualSpacing w:val="0"/>
        <w:jc w:val="both"/>
      </w:pPr>
      <w:r>
        <w:t xml:space="preserve"> Označenie </w:t>
      </w:r>
      <w:r>
        <w:rPr>
          <w:b/>
        </w:rPr>
        <w:t>„Súťaž - neotvárať “.</w:t>
      </w:r>
    </w:p>
    <w:p w:rsidR="00CE53EC" w:rsidRDefault="00CE53EC" w:rsidP="00CE53EC">
      <w:pPr>
        <w:pStyle w:val="slovanzoznam3"/>
        <w:numPr>
          <w:ilvl w:val="1"/>
          <w:numId w:val="3"/>
        </w:numPr>
        <w:tabs>
          <w:tab w:val="left" w:pos="708"/>
          <w:tab w:val="num" w:pos="926"/>
        </w:tabs>
        <w:spacing w:before="20"/>
        <w:ind w:left="1276" w:hanging="567"/>
        <w:contextualSpacing w:val="0"/>
        <w:jc w:val="both"/>
      </w:pPr>
      <w:r>
        <w:t xml:space="preserve">Označenie heslom : </w:t>
      </w:r>
      <w:r>
        <w:rPr>
          <w:b/>
        </w:rPr>
        <w:t>„servis motorových vozidiel.“.</w:t>
      </w:r>
    </w:p>
    <w:p w:rsidR="00CE53EC" w:rsidRPr="00272305" w:rsidRDefault="00CE53EC" w:rsidP="00272305">
      <w:pPr>
        <w:pStyle w:val="slovanzoznam3"/>
        <w:numPr>
          <w:ilvl w:val="0"/>
          <w:numId w:val="0"/>
        </w:numPr>
        <w:tabs>
          <w:tab w:val="left" w:pos="708"/>
        </w:tabs>
        <w:spacing w:before="20"/>
        <w:ind w:left="1276" w:hanging="567"/>
      </w:pPr>
      <w:r>
        <w:t>15.5 Ak obal s ponukou uchádzača nebude obsahovať niektorý z údajov požadovaných podľa bodu 15, verejný obstarávateľ nenesie zodpovednosť za predčasné otvorenie ponuky a v takomto prípade táto ponuka nebude zaradená do hodnotenia a bude vrátená uchádzačovi.</w:t>
      </w:r>
    </w:p>
    <w:p w:rsidR="00CE53EC" w:rsidRDefault="00CE53EC" w:rsidP="00CE53EC">
      <w:pPr>
        <w:ind w:left="1276" w:hanging="567"/>
        <w:jc w:val="both"/>
        <w:rPr>
          <w:rFonts w:ascii="Arial" w:hAnsi="Arial" w:cs="Arial"/>
        </w:rPr>
      </w:pPr>
    </w:p>
    <w:p w:rsidR="00CE53EC" w:rsidRPr="002F669A" w:rsidRDefault="00CE53EC" w:rsidP="00CE53EC">
      <w:pPr>
        <w:pStyle w:val="Nadpis5"/>
        <w:tabs>
          <w:tab w:val="left" w:pos="1260"/>
          <w:tab w:val="left" w:pos="1980"/>
          <w:tab w:val="left" w:pos="5400"/>
        </w:tabs>
        <w:spacing w:before="60"/>
        <w:jc w:val="both"/>
        <w:rPr>
          <w:rFonts w:ascii="Arial" w:hAnsi="Arial" w:cs="Arial"/>
          <w:i w:val="0"/>
          <w:sz w:val="22"/>
          <w:szCs w:val="22"/>
        </w:rPr>
      </w:pPr>
      <w:r w:rsidRPr="002F669A">
        <w:rPr>
          <w:rFonts w:ascii="Arial" w:hAnsi="Arial" w:cs="Arial"/>
          <w:i w:val="0"/>
          <w:sz w:val="22"/>
          <w:szCs w:val="22"/>
        </w:rPr>
        <w:t>16. Kritériá na hodnotenie ponúk:</w:t>
      </w:r>
    </w:p>
    <w:p w:rsidR="00CE53EC" w:rsidRPr="00D92C48" w:rsidRDefault="00CE53EC" w:rsidP="00CE53EC">
      <w:pPr>
        <w:ind w:left="360"/>
        <w:rPr>
          <w:rFonts w:ascii="Arial" w:hAnsi="Arial" w:cs="Arial"/>
        </w:rPr>
      </w:pPr>
      <w:r w:rsidRPr="00D92C48">
        <w:rPr>
          <w:rFonts w:ascii="Arial" w:hAnsi="Arial" w:cs="Arial"/>
        </w:rPr>
        <w:t xml:space="preserve">Na hodnotenie predložených ponúk kritériom bude </w:t>
      </w:r>
      <w:r w:rsidR="002576BF">
        <w:rPr>
          <w:rFonts w:ascii="Arial" w:hAnsi="Arial" w:cs="Arial"/>
        </w:rPr>
        <w:t>najnižšia cena celkom s DPH</w:t>
      </w:r>
      <w:r w:rsidRPr="00D92C48">
        <w:rPr>
          <w:rFonts w:ascii="Arial" w:hAnsi="Arial" w:cs="Arial"/>
        </w:rPr>
        <w:t>:</w:t>
      </w:r>
    </w:p>
    <w:p w:rsidR="002576BF" w:rsidRDefault="002576BF" w:rsidP="00CE53EC">
      <w:pPr>
        <w:pStyle w:val="Zkladntext21"/>
        <w:ind w:left="360" w:hanging="360"/>
        <w:jc w:val="both"/>
        <w:rPr>
          <w:rFonts w:cs="Arial"/>
          <w:b/>
        </w:rPr>
      </w:pPr>
    </w:p>
    <w:p w:rsidR="00CE53EC" w:rsidRDefault="00CE53EC" w:rsidP="00CE53EC">
      <w:pPr>
        <w:pStyle w:val="Zkladntext21"/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>17. Spôsob určenia ceny</w:t>
      </w:r>
    </w:p>
    <w:p w:rsidR="00CE53EC" w:rsidRDefault="00CE53EC" w:rsidP="00CE53EC">
      <w:pPr>
        <w:pStyle w:val="Zkladntext21"/>
        <w:ind w:left="360"/>
        <w:jc w:val="both"/>
        <w:rPr>
          <w:rFonts w:cs="Arial"/>
        </w:rPr>
      </w:pPr>
    </w:p>
    <w:p w:rsidR="00CE53EC" w:rsidRDefault="00CE53EC" w:rsidP="00CE53EC">
      <w:pPr>
        <w:pStyle w:val="Zkladntext21"/>
        <w:ind w:left="360"/>
        <w:jc w:val="both"/>
        <w:rPr>
          <w:rFonts w:cs="Arial"/>
        </w:rPr>
      </w:pPr>
      <w:r>
        <w:rPr>
          <w:rFonts w:cs="Arial"/>
        </w:rPr>
        <w:t>Uchádzačom navrhovaná zmluvná cena za predmet zákazky bude vyjadrená v Eurách (EUR). Ak je uchádzač platiteľom dane z pridanej hodnoty (ďalej len „DPH“), navrhovanú zmluvnú cenu za dodanie predmetu zákazky uvedie v zložení :</w:t>
      </w:r>
      <w:r>
        <w:rPr>
          <w:rFonts w:cs="Arial"/>
        </w:rPr>
        <w:br/>
        <w:t xml:space="preserve">- </w:t>
      </w:r>
      <w:r>
        <w:rPr>
          <w:rFonts w:cs="Arial"/>
        </w:rPr>
        <w:tab/>
        <w:t>navrhovaná celková  zmluvná cena bez DPH</w:t>
      </w:r>
    </w:p>
    <w:p w:rsidR="00CE53EC" w:rsidRDefault="00CE53EC" w:rsidP="00CE53EC">
      <w:pPr>
        <w:pStyle w:val="Zkladntext21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sadzba DPH a výška DPH</w:t>
      </w:r>
    </w:p>
    <w:p w:rsidR="00CE53EC" w:rsidRDefault="00CE53EC" w:rsidP="00CE53EC">
      <w:pPr>
        <w:pStyle w:val="Zkladntext21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navrhovaná celková zmluvná cena vrátane DPH</w:t>
      </w:r>
    </w:p>
    <w:p w:rsidR="00CE53EC" w:rsidRDefault="00CE53EC" w:rsidP="00CE53EC">
      <w:pPr>
        <w:pStyle w:val="Zkladntext21"/>
        <w:ind w:left="360"/>
        <w:jc w:val="both"/>
        <w:rPr>
          <w:rFonts w:cs="Arial"/>
        </w:rPr>
      </w:pPr>
    </w:p>
    <w:p w:rsidR="00CE53EC" w:rsidRDefault="00CE53EC" w:rsidP="00CE53EC">
      <w:pPr>
        <w:pStyle w:val="Zkladntext21"/>
        <w:ind w:left="360"/>
        <w:jc w:val="both"/>
        <w:rPr>
          <w:rFonts w:cs="Arial"/>
        </w:rPr>
      </w:pPr>
      <w:r>
        <w:rPr>
          <w:rFonts w:cs="Arial"/>
        </w:rPr>
        <w:t xml:space="preserve">Ak uchádzač nie je platiteľom DPH, uvedie navrhovanú zmluvnú cenu celkom za dodanie predmetu zákazky. Na skutočnosť , že nie je platcom DPH, upozorní v ponuke. </w:t>
      </w:r>
    </w:p>
    <w:p w:rsidR="00CE53EC" w:rsidRDefault="00CE53EC" w:rsidP="00CE53EC">
      <w:pPr>
        <w:pStyle w:val="Zkladntext21"/>
        <w:ind w:left="360"/>
        <w:jc w:val="both"/>
        <w:rPr>
          <w:rFonts w:cs="Arial"/>
        </w:rPr>
      </w:pPr>
    </w:p>
    <w:p w:rsidR="00FB4923" w:rsidRDefault="00FB4923" w:rsidP="00CE53EC">
      <w:pPr>
        <w:pStyle w:val="Zkladntext21"/>
        <w:ind w:left="360"/>
        <w:jc w:val="both"/>
        <w:rPr>
          <w:rFonts w:cs="Arial"/>
        </w:rPr>
      </w:pPr>
    </w:p>
    <w:p w:rsidR="002F669A" w:rsidRDefault="002F669A" w:rsidP="00CE53EC">
      <w:pPr>
        <w:pStyle w:val="Zkladntext21"/>
        <w:ind w:left="360"/>
        <w:jc w:val="both"/>
        <w:rPr>
          <w:rFonts w:cs="Arial"/>
        </w:rPr>
      </w:pPr>
    </w:p>
    <w:p w:rsidR="00CE53EC" w:rsidRPr="002F669A" w:rsidRDefault="00CE53EC" w:rsidP="00CE53EC">
      <w:pPr>
        <w:pStyle w:val="Nadpis5"/>
        <w:tabs>
          <w:tab w:val="left" w:pos="1260"/>
          <w:tab w:val="left" w:pos="1980"/>
          <w:tab w:val="left" w:pos="540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2F669A">
        <w:rPr>
          <w:rFonts w:ascii="Arial" w:hAnsi="Arial" w:cs="Arial"/>
          <w:sz w:val="22"/>
          <w:szCs w:val="22"/>
        </w:rPr>
        <w:t>18. Lehota viazanosti ponúk:</w:t>
      </w:r>
    </w:p>
    <w:p w:rsidR="00CE53EC" w:rsidRDefault="00CE53EC" w:rsidP="00CE53E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Do 31.03.2014</w:t>
      </w:r>
    </w:p>
    <w:p w:rsidR="00CE53EC" w:rsidRDefault="00CE53EC" w:rsidP="00CE53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2576BF" w:rsidRDefault="002576BF" w:rsidP="00CE53EC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E53EC" w:rsidRPr="002F669A" w:rsidRDefault="00CE53EC" w:rsidP="00CE53EC">
      <w:pPr>
        <w:pStyle w:val="Zkladntext"/>
        <w:rPr>
          <w:rFonts w:ascii="Arial" w:hAnsi="Arial" w:cs="Arial"/>
          <w:b/>
          <w:sz w:val="22"/>
          <w:szCs w:val="20"/>
        </w:rPr>
      </w:pPr>
      <w:r w:rsidRPr="002F669A">
        <w:rPr>
          <w:rFonts w:ascii="Arial" w:hAnsi="Arial" w:cs="Arial"/>
          <w:b/>
          <w:sz w:val="22"/>
        </w:rPr>
        <w:lastRenderedPageBreak/>
        <w:t>18. Ďalšie informácie obstarávateľa :</w:t>
      </w:r>
    </w:p>
    <w:p w:rsidR="00CE53EC" w:rsidRDefault="00CE53EC" w:rsidP="00CE53EC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-počas fakturácie priebežná kontrola sumy faktúr za účelom dodržiavania finančného limitu</w:t>
      </w:r>
    </w:p>
    <w:p w:rsidR="00CE53EC" w:rsidRDefault="00CE53EC" w:rsidP="00FB4923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Verejný obstarávateľ bude e-mailom  informovať o výsledku vyhodnotenia ponúk úspešného uchádzača a bude mu zaslaná objednávka podľa priloženej cenovej ponuky. Neúspešných uchádzačov verejný obstarávateľ nebude informovať o výsledku vyhodnotenia ponúk</w:t>
      </w:r>
    </w:p>
    <w:p w:rsidR="00CE53EC" w:rsidRDefault="00CE53EC" w:rsidP="00CE53EC">
      <w:pPr>
        <w:rPr>
          <w:rFonts w:ascii="Arial" w:hAnsi="Arial" w:cs="Arial"/>
          <w:bCs/>
        </w:rPr>
      </w:pPr>
    </w:p>
    <w:p w:rsidR="00CE53EC" w:rsidRPr="00272305" w:rsidRDefault="00CE53EC" w:rsidP="00272305">
      <w:pP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CE53EC" w:rsidRDefault="002F669A" w:rsidP="00CE53EC">
      <w:pPr>
        <w:pStyle w:val="Zarkazkladnhotextu"/>
        <w:ind w:left="0"/>
        <w:rPr>
          <w:sz w:val="20"/>
          <w:szCs w:val="20"/>
          <w:lang w:val="cs-CZ"/>
        </w:rPr>
      </w:pPr>
      <w:r>
        <w:rPr>
          <w:rFonts w:ascii="Arial" w:hAnsi="Arial" w:cs="Arial"/>
          <w:bCs/>
          <w:sz w:val="22"/>
          <w:szCs w:val="22"/>
        </w:rPr>
        <w:t>V Prešove, 1</w:t>
      </w:r>
      <w:r w:rsidR="00FB4923">
        <w:rPr>
          <w:rFonts w:ascii="Arial" w:hAnsi="Arial" w:cs="Arial"/>
          <w:bCs/>
          <w:sz w:val="22"/>
          <w:szCs w:val="22"/>
        </w:rPr>
        <w:t>7</w:t>
      </w:r>
      <w:r w:rsidR="00CE53EC">
        <w:rPr>
          <w:rFonts w:ascii="Arial" w:hAnsi="Arial" w:cs="Arial"/>
          <w:bCs/>
          <w:sz w:val="22"/>
          <w:szCs w:val="22"/>
        </w:rPr>
        <w:t>.01.2014</w:t>
      </w:r>
    </w:p>
    <w:p w:rsidR="00CE53EC" w:rsidRDefault="00CE53EC" w:rsidP="00CE53EC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CE53EC" w:rsidRDefault="00CE53EC" w:rsidP="00CE53EC">
      <w:pPr>
        <w:pStyle w:val="Default"/>
        <w:rPr>
          <w:color w:val="auto"/>
        </w:rPr>
      </w:pPr>
    </w:p>
    <w:p w:rsidR="00CE53EC" w:rsidRDefault="00CE53EC" w:rsidP="00CE53EC">
      <w:pPr>
        <w:pStyle w:val="Default"/>
        <w:ind w:left="3540" w:firstLine="708"/>
        <w:rPr>
          <w:color w:val="auto"/>
        </w:rPr>
      </w:pPr>
      <w:r>
        <w:rPr>
          <w:color w:val="auto"/>
        </w:rPr>
        <w:t xml:space="preserve">    ..................................................</w:t>
      </w:r>
    </w:p>
    <w:p w:rsidR="00CE53EC" w:rsidRDefault="00CE53EC" w:rsidP="00CE53EC">
      <w:pPr>
        <w:pStyle w:val="Default"/>
        <w:rPr>
          <w:rFonts w:ascii="Arial" w:hAnsi="Arial" w:cs="Arial"/>
          <w:color w:val="auto"/>
        </w:rPr>
      </w:pPr>
      <w:r>
        <w:rPr>
          <w:color w:val="auto"/>
        </w:rPr>
        <w:t xml:space="preserve">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A5A45">
        <w:rPr>
          <w:rFonts w:ascii="Arial" w:hAnsi="Arial" w:cs="Arial"/>
          <w:color w:val="auto"/>
        </w:rPr>
        <w:t xml:space="preserve"> Ing. Karol </w:t>
      </w:r>
      <w:proofErr w:type="spellStart"/>
      <w:r w:rsidRPr="008A5A45">
        <w:rPr>
          <w:rFonts w:ascii="Arial" w:hAnsi="Arial" w:cs="Arial"/>
          <w:color w:val="auto"/>
        </w:rPr>
        <w:t>Gabányi</w:t>
      </w:r>
      <w:proofErr w:type="spellEnd"/>
    </w:p>
    <w:p w:rsidR="00CE53EC" w:rsidRPr="008A5A45" w:rsidRDefault="00CE53EC" w:rsidP="00CE53EC">
      <w:pPr>
        <w:pStyle w:val="Default"/>
        <w:ind w:left="424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Vedúci </w:t>
      </w:r>
      <w:proofErr w:type="spellStart"/>
      <w:r>
        <w:rPr>
          <w:rFonts w:ascii="Arial" w:hAnsi="Arial" w:cs="Arial"/>
          <w:color w:val="auto"/>
        </w:rPr>
        <w:t>Technicko</w:t>
      </w:r>
      <w:proofErr w:type="spellEnd"/>
      <w:r>
        <w:rPr>
          <w:rFonts w:ascii="Arial" w:hAnsi="Arial" w:cs="Arial"/>
          <w:color w:val="auto"/>
        </w:rPr>
        <w:t>- prevádzkového útvaru</w:t>
      </w:r>
    </w:p>
    <w:p w:rsidR="00CE53EC" w:rsidRDefault="00CE53EC" w:rsidP="00CE53EC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</w:t>
      </w:r>
    </w:p>
    <w:p w:rsidR="00CE53EC" w:rsidRDefault="00CE53EC" w:rsidP="00CE53EC">
      <w:pPr>
        <w:pStyle w:val="Default"/>
        <w:rPr>
          <w:color w:val="auto"/>
        </w:rPr>
      </w:pPr>
    </w:p>
    <w:p w:rsidR="00CE53EC" w:rsidRDefault="00CE53EC" w:rsidP="00CE53EC">
      <w:pPr>
        <w:pStyle w:val="Default"/>
        <w:rPr>
          <w:color w:val="auto"/>
        </w:rPr>
      </w:pPr>
    </w:p>
    <w:p w:rsidR="00CE53EC" w:rsidRDefault="00CE53EC" w:rsidP="00CE53EC">
      <w:pPr>
        <w:pStyle w:val="Default"/>
        <w:rPr>
          <w:color w:val="auto"/>
        </w:rPr>
      </w:pPr>
    </w:p>
    <w:p w:rsidR="00CE53EC" w:rsidRDefault="00CE53EC" w:rsidP="00CE53EC">
      <w:pPr>
        <w:pStyle w:val="Default"/>
        <w:rPr>
          <w:color w:val="auto"/>
        </w:rPr>
      </w:pPr>
    </w:p>
    <w:p w:rsidR="00262FA7" w:rsidRDefault="00272305" w:rsidP="00CE53EC">
      <w:pPr>
        <w:pStyle w:val="Default"/>
        <w:rPr>
          <w:color w:val="auto"/>
        </w:rPr>
      </w:pPr>
      <w:r>
        <w:rPr>
          <w:color w:val="auto"/>
        </w:rPr>
        <w:t>Príloha: tabuľka</w:t>
      </w:r>
    </w:p>
    <w:tbl>
      <w:tblPr>
        <w:tblW w:w="143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08"/>
        <w:gridCol w:w="3189"/>
        <w:gridCol w:w="202"/>
        <w:gridCol w:w="1078"/>
        <w:gridCol w:w="202"/>
        <w:gridCol w:w="1078"/>
        <w:gridCol w:w="202"/>
        <w:gridCol w:w="1078"/>
        <w:gridCol w:w="219"/>
        <w:gridCol w:w="1061"/>
        <w:gridCol w:w="225"/>
        <w:gridCol w:w="1055"/>
        <w:gridCol w:w="225"/>
        <w:gridCol w:w="1080"/>
        <w:gridCol w:w="225"/>
        <w:gridCol w:w="1080"/>
        <w:gridCol w:w="548"/>
        <w:gridCol w:w="832"/>
        <w:gridCol w:w="225"/>
      </w:tblGrid>
      <w:tr w:rsidR="00262FA7" w:rsidRPr="00262FA7" w:rsidTr="00272305">
        <w:trPr>
          <w:trHeight w:val="682"/>
        </w:trPr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72305" w:rsidRDefault="00272305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72305" w:rsidRDefault="00272305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72305" w:rsidRDefault="00272305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72305" w:rsidRDefault="00272305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272305" w:rsidRPr="00262FA7" w:rsidRDefault="00272305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62FA7" w:rsidRPr="00262FA7" w:rsidTr="00272305">
        <w:trPr>
          <w:trHeight w:val="270"/>
        </w:trPr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A7" w:rsidRPr="00262FA7" w:rsidRDefault="00262FA7" w:rsidP="00262F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F275C" w:rsidRPr="00DF275C" w:rsidTr="00272305">
        <w:trPr>
          <w:gridAfter w:val="1"/>
          <w:wAfter w:w="225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5C" w:rsidRPr="00DF275C" w:rsidRDefault="00DF275C" w:rsidP="00DF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CE53EC" w:rsidRDefault="00CE53EC"/>
    <w:sectPr w:rsidR="00CE53EC" w:rsidSect="002F669A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AB2B5EC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874A75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22EC7E7F"/>
    <w:multiLevelType w:val="multilevel"/>
    <w:tmpl w:val="B4301920"/>
    <w:lvl w:ilvl="0">
      <w:start w:val="15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1556" w:hanging="42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63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40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54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3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45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3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368" w:hanging="1800"/>
      </w:pPr>
      <w:rPr>
        <w:rFonts w:cs="Times New Roman"/>
      </w:rPr>
    </w:lvl>
  </w:abstractNum>
  <w:abstractNum w:abstractNumId="3">
    <w:nsid w:val="38DC1851"/>
    <w:multiLevelType w:val="hybridMultilevel"/>
    <w:tmpl w:val="309296B6"/>
    <w:lvl w:ilvl="0" w:tplc="FFFFFFFF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AC"/>
    <w:rsid w:val="00107B54"/>
    <w:rsid w:val="002576BF"/>
    <w:rsid w:val="00262FA7"/>
    <w:rsid w:val="00272305"/>
    <w:rsid w:val="002F669A"/>
    <w:rsid w:val="003A4FA8"/>
    <w:rsid w:val="004B229F"/>
    <w:rsid w:val="00504E8F"/>
    <w:rsid w:val="00CE53EC"/>
    <w:rsid w:val="00DF275C"/>
    <w:rsid w:val="00DF5BE4"/>
    <w:rsid w:val="00FB4923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semiHidden/>
    <w:unhideWhenUsed/>
    <w:qFormat/>
    <w:rsid w:val="00CE53E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CE53E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CE53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E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E53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2">
    <w:name w:val="List Number 2"/>
    <w:basedOn w:val="Normlny"/>
    <w:uiPriority w:val="99"/>
    <w:semiHidden/>
    <w:unhideWhenUsed/>
    <w:rsid w:val="00CE53E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3">
    <w:name w:val="List Number 3"/>
    <w:basedOn w:val="Normlny"/>
    <w:uiPriority w:val="99"/>
    <w:unhideWhenUsed/>
    <w:rsid w:val="00CE53EC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CE5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E53E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CE53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E53EC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E53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E53E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E53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53EC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customStyle="1" w:styleId="Default">
    <w:name w:val="Default"/>
    <w:uiPriority w:val="99"/>
    <w:rsid w:val="00CE5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21">
    <w:name w:val="Základný text 21"/>
    <w:basedOn w:val="Normlny"/>
    <w:uiPriority w:val="99"/>
    <w:rsid w:val="00CE53E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styleId="Hypertextovprepojenie">
    <w:name w:val="Hyperlink"/>
    <w:uiPriority w:val="99"/>
    <w:unhideWhenUsed/>
    <w:rsid w:val="00CE5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semiHidden/>
    <w:unhideWhenUsed/>
    <w:qFormat/>
    <w:rsid w:val="00CE53E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CE53E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CE53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E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E53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2">
    <w:name w:val="List Number 2"/>
    <w:basedOn w:val="Normlny"/>
    <w:uiPriority w:val="99"/>
    <w:semiHidden/>
    <w:unhideWhenUsed/>
    <w:rsid w:val="00CE53E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3">
    <w:name w:val="List Number 3"/>
    <w:basedOn w:val="Normlny"/>
    <w:uiPriority w:val="99"/>
    <w:unhideWhenUsed/>
    <w:rsid w:val="00CE53EC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CE5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E53E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CE53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E53EC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E53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E53E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E53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53EC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customStyle="1" w:styleId="Default">
    <w:name w:val="Default"/>
    <w:uiPriority w:val="99"/>
    <w:rsid w:val="00CE5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21">
    <w:name w:val="Základný text 21"/>
    <w:basedOn w:val="Normlny"/>
    <w:uiPriority w:val="99"/>
    <w:rsid w:val="00CE53E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styleId="Hypertextovprepojenie">
    <w:name w:val="Hyperlink"/>
    <w:uiPriority w:val="99"/>
    <w:unhideWhenUsed/>
    <w:rsid w:val="00CE5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a.germuskov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2014-01-23T12:58:00Z</cp:lastPrinted>
  <dcterms:created xsi:type="dcterms:W3CDTF">2014-01-23T12:25:00Z</dcterms:created>
  <dcterms:modified xsi:type="dcterms:W3CDTF">2014-01-23T13:18:00Z</dcterms:modified>
</cp:coreProperties>
</file>